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BB5454" w:rsidRDefault="00BF1715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B5454">
        <w:rPr>
          <w:rFonts w:ascii="Arial" w:hAnsi="Arial" w:cs="Arial"/>
          <w:b/>
          <w:color w:val="0070C0"/>
          <w:sz w:val="28"/>
          <w:szCs w:val="28"/>
        </w:rPr>
        <w:t>Stanovisko Rady pro výzkum, vývoj a inovace k Návrhu na </w:t>
      </w:r>
      <w:r w:rsidR="00A92BF6" w:rsidRPr="00BB5454">
        <w:rPr>
          <w:rFonts w:ascii="Arial" w:hAnsi="Arial" w:cs="Arial"/>
          <w:b/>
          <w:color w:val="0070C0"/>
          <w:sz w:val="28"/>
          <w:szCs w:val="28"/>
        </w:rPr>
        <w:t>změnu</w:t>
      </w:r>
      <w:r w:rsidRPr="00BB5454">
        <w:rPr>
          <w:rFonts w:ascii="Arial" w:hAnsi="Arial" w:cs="Arial"/>
          <w:b/>
          <w:color w:val="0070C0"/>
          <w:sz w:val="28"/>
          <w:szCs w:val="28"/>
        </w:rPr>
        <w:t xml:space="preserve"> programu na podporu výzkumu, experimentálního vývoje a inovací „ERC CZ“</w:t>
      </w:r>
    </w:p>
    <w:p w:rsidR="00BF1715" w:rsidRPr="009A7A10" w:rsidRDefault="00BF1715" w:rsidP="00CF0116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9A7A10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571676" w:rsidRDefault="00571676" w:rsidP="0050397C">
      <w:pPr>
        <w:spacing w:after="120"/>
        <w:jc w:val="both"/>
        <w:rPr>
          <w:rFonts w:ascii="Arial" w:hAnsi="Arial" w:cs="Arial"/>
        </w:rPr>
      </w:pPr>
      <w:r w:rsidRPr="009A7A10">
        <w:rPr>
          <w:rFonts w:ascii="Arial" w:hAnsi="Arial" w:cs="Arial"/>
        </w:rPr>
        <w:t xml:space="preserve">Návrh na </w:t>
      </w:r>
      <w:r w:rsidR="00A92BF6" w:rsidRPr="009A7A10">
        <w:rPr>
          <w:rFonts w:ascii="Arial" w:hAnsi="Arial" w:cs="Arial"/>
        </w:rPr>
        <w:t>změnu</w:t>
      </w:r>
      <w:r w:rsidRPr="009A7A10">
        <w:rPr>
          <w:rFonts w:ascii="Arial" w:hAnsi="Arial" w:cs="Arial"/>
        </w:rPr>
        <w:t xml:space="preserve"> programu na podporu výzkumu, experimentálního vývoje a</w:t>
      </w:r>
      <w:r w:rsidR="00CF0116" w:rsidRPr="009A7A10">
        <w:rPr>
          <w:rFonts w:ascii="Arial" w:hAnsi="Arial" w:cs="Arial"/>
        </w:rPr>
        <w:t> </w:t>
      </w:r>
      <w:r w:rsidRPr="009A7A10">
        <w:rPr>
          <w:rFonts w:ascii="Arial" w:hAnsi="Arial" w:cs="Arial"/>
        </w:rPr>
        <w:t>inovací „ERC CZ“ (dále jen „</w:t>
      </w:r>
      <w:r w:rsidR="009A7A10" w:rsidRPr="009A7A10">
        <w:rPr>
          <w:rFonts w:ascii="Arial" w:hAnsi="Arial" w:cs="Arial"/>
        </w:rPr>
        <w:t>p</w:t>
      </w:r>
      <w:r w:rsidRPr="009A7A10">
        <w:rPr>
          <w:rFonts w:ascii="Arial" w:hAnsi="Arial" w:cs="Arial"/>
        </w:rPr>
        <w:t>rogram“) byl předložen Radě pro výzkum, vývoj a</w:t>
      </w:r>
      <w:r w:rsidR="00CF0116" w:rsidRPr="009A7A10">
        <w:rPr>
          <w:rFonts w:ascii="Arial" w:hAnsi="Arial" w:cs="Arial"/>
          <w:lang w:val="en-US"/>
        </w:rPr>
        <w:t> </w:t>
      </w:r>
      <w:r w:rsidRPr="009A7A10">
        <w:rPr>
          <w:rFonts w:ascii="Arial" w:hAnsi="Arial" w:cs="Arial"/>
        </w:rPr>
        <w:t xml:space="preserve"> inovace </w:t>
      </w:r>
      <w:r w:rsidR="00CF0116" w:rsidRPr="009A7A10">
        <w:rPr>
          <w:rFonts w:ascii="Arial" w:hAnsi="Arial" w:cs="Arial"/>
        </w:rPr>
        <w:t xml:space="preserve">(dále jen „Rada“) </w:t>
      </w:r>
      <w:r w:rsidRPr="009A7A10">
        <w:rPr>
          <w:rFonts w:ascii="Arial" w:hAnsi="Arial" w:cs="Arial"/>
        </w:rPr>
        <w:t>dopisem náměstka ministra školství, mládeže a</w:t>
      </w:r>
      <w:r w:rsidR="00CF0116" w:rsidRPr="009A7A10">
        <w:rPr>
          <w:rFonts w:ascii="Arial" w:hAnsi="Arial" w:cs="Arial"/>
        </w:rPr>
        <w:t> </w:t>
      </w:r>
      <w:r w:rsidRPr="009A7A10">
        <w:rPr>
          <w:rFonts w:ascii="Arial" w:hAnsi="Arial" w:cs="Arial"/>
        </w:rPr>
        <w:t xml:space="preserve">tělovýchovy </w:t>
      </w:r>
      <w:r w:rsidR="009A7A10" w:rsidRPr="009A7A10">
        <w:rPr>
          <w:rFonts w:ascii="Arial" w:hAnsi="Arial" w:cs="Arial"/>
        </w:rPr>
        <w:t>Pavla Dolečka ze dne 5. února 2019</w:t>
      </w:r>
      <w:r w:rsidR="00CF0116" w:rsidRPr="009A7A10">
        <w:rPr>
          <w:rFonts w:ascii="Arial" w:hAnsi="Arial" w:cs="Arial"/>
        </w:rPr>
        <w:t xml:space="preserve"> č. j. </w:t>
      </w:r>
      <w:r w:rsidR="009A7A10" w:rsidRPr="009A7A10">
        <w:rPr>
          <w:rFonts w:ascii="Arial" w:hAnsi="Arial" w:cs="Arial"/>
        </w:rPr>
        <w:t>MSMT</w:t>
      </w:r>
      <w:r w:rsidR="002516F1">
        <w:rPr>
          <w:rFonts w:ascii="Arial" w:hAnsi="Arial" w:cs="Arial"/>
        </w:rPr>
        <w:t>-</w:t>
      </w:r>
      <w:r w:rsidR="009A7A10" w:rsidRPr="009A7A10">
        <w:rPr>
          <w:rFonts w:ascii="Arial" w:hAnsi="Arial" w:cs="Arial"/>
        </w:rPr>
        <w:t>2642/2019-2.</w:t>
      </w:r>
    </w:p>
    <w:p w:rsidR="009A7A10" w:rsidRDefault="009A7A10" w:rsidP="0050397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</w:t>
      </w:r>
      <w:r w:rsidR="002516F1">
        <w:rPr>
          <w:rFonts w:ascii="Arial" w:hAnsi="Arial" w:cs="Arial"/>
        </w:rPr>
        <w:t>byl před</w:t>
      </w:r>
      <w:r>
        <w:rPr>
          <w:rFonts w:ascii="Arial" w:hAnsi="Arial" w:cs="Arial"/>
        </w:rPr>
        <w:t>l</w:t>
      </w:r>
      <w:r w:rsidR="002516F1">
        <w:rPr>
          <w:rFonts w:ascii="Arial" w:hAnsi="Arial" w:cs="Arial"/>
        </w:rPr>
        <w:t>ožen</w:t>
      </w:r>
      <w:r>
        <w:rPr>
          <w:rFonts w:ascii="Arial" w:hAnsi="Arial" w:cs="Arial"/>
        </w:rPr>
        <w:t xml:space="preserve"> v návaznosti na bod A5) odst. 4 usnesení 342. </w:t>
      </w:r>
      <w:r w:rsidR="002516F1">
        <w:rPr>
          <w:rFonts w:ascii="Arial" w:hAnsi="Arial" w:cs="Arial"/>
        </w:rPr>
        <w:t>z</w:t>
      </w:r>
      <w:r>
        <w:rPr>
          <w:rFonts w:ascii="Arial" w:hAnsi="Arial" w:cs="Arial"/>
        </w:rPr>
        <w:t>asedání Rady</w:t>
      </w:r>
      <w:r w:rsidR="002516F1">
        <w:rPr>
          <w:rFonts w:ascii="Arial" w:hAnsi="Arial" w:cs="Arial"/>
        </w:rPr>
        <w:t xml:space="preserve"> ze dne 23. ledna 2019, o postupu implementace ERC CZ.</w:t>
      </w:r>
    </w:p>
    <w:p w:rsidR="00A478E2" w:rsidRDefault="00A478E2" w:rsidP="00A478E2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A478E2">
        <w:rPr>
          <w:rFonts w:ascii="Arial" w:hAnsi="Arial" w:cs="Arial"/>
          <w:b/>
          <w:color w:val="0070C0"/>
          <w:sz w:val="28"/>
          <w:szCs w:val="28"/>
        </w:rPr>
        <w:t>K návrhu na změnu programu</w:t>
      </w:r>
    </w:p>
    <w:p w:rsidR="00A478E2" w:rsidRPr="00FF7293" w:rsidRDefault="00A478E2" w:rsidP="00A478E2">
      <w:pPr>
        <w:spacing w:after="120"/>
        <w:jc w:val="both"/>
        <w:rPr>
          <w:rFonts w:ascii="Arial" w:hAnsi="Arial" w:cs="Arial"/>
        </w:rPr>
      </w:pPr>
      <w:r w:rsidRPr="00A478E2">
        <w:rPr>
          <w:rFonts w:ascii="Arial" w:hAnsi="Arial" w:cs="Arial"/>
        </w:rPr>
        <w:t xml:space="preserve">Radě je předkládán ke stanovisku </w:t>
      </w:r>
      <w:r>
        <w:rPr>
          <w:rFonts w:ascii="Arial" w:hAnsi="Arial" w:cs="Arial"/>
        </w:rPr>
        <w:t xml:space="preserve">podle </w:t>
      </w:r>
      <w:r w:rsidRPr="002516F1">
        <w:rPr>
          <w:rFonts w:ascii="Arial" w:hAnsi="Arial" w:cs="Arial"/>
        </w:rPr>
        <w:t>§ 5 odst. 3 zákona č.</w:t>
      </w:r>
      <w:r>
        <w:rPr>
          <w:rFonts w:ascii="Arial" w:hAnsi="Arial" w:cs="Arial"/>
        </w:rPr>
        <w:t> </w:t>
      </w:r>
      <w:r w:rsidRPr="002516F1">
        <w:rPr>
          <w:rFonts w:ascii="Arial" w:hAnsi="Arial" w:cs="Arial"/>
        </w:rPr>
        <w:t>130/2002 Sb., o</w:t>
      </w:r>
      <w:r>
        <w:rPr>
          <w:rFonts w:ascii="Arial" w:hAnsi="Arial" w:cs="Arial"/>
        </w:rPr>
        <w:t> </w:t>
      </w:r>
      <w:r w:rsidRPr="002516F1">
        <w:rPr>
          <w:rFonts w:ascii="Arial" w:hAnsi="Arial" w:cs="Arial"/>
        </w:rPr>
        <w:t>podpoře výzkumu, experimentálního vývoje a inovací z veřejných prostředků a</w:t>
      </w:r>
      <w:r>
        <w:rPr>
          <w:rFonts w:ascii="Arial" w:hAnsi="Arial" w:cs="Arial"/>
        </w:rPr>
        <w:t> </w:t>
      </w:r>
      <w:r w:rsidRPr="002516F1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2516F1">
        <w:rPr>
          <w:rFonts w:ascii="Arial" w:hAnsi="Arial" w:cs="Arial"/>
        </w:rPr>
        <w:t>změně některých souvisejících zákonů (dále jen „zákon o podpoře výzkumu, experimentálního vývoje a inovací“)</w:t>
      </w:r>
      <w:r>
        <w:rPr>
          <w:rFonts w:ascii="Arial" w:hAnsi="Arial" w:cs="Arial"/>
        </w:rPr>
        <w:t xml:space="preserve"> n</w:t>
      </w:r>
      <w:r w:rsidRPr="00A478E2">
        <w:rPr>
          <w:rFonts w:ascii="Arial" w:hAnsi="Arial" w:cs="Arial"/>
        </w:rPr>
        <w:t xml:space="preserve">ávrh na druhou změnu programu, který byl schválen usnesením vlády č. 885 ze dne 7. října 2010. </w:t>
      </w:r>
      <w:r w:rsidR="00363121">
        <w:rPr>
          <w:rFonts w:ascii="Arial" w:hAnsi="Arial" w:cs="Arial"/>
        </w:rPr>
        <w:t>První z</w:t>
      </w:r>
      <w:r w:rsidRPr="00A478E2">
        <w:rPr>
          <w:rFonts w:ascii="Arial" w:hAnsi="Arial" w:cs="Arial"/>
        </w:rPr>
        <w:t xml:space="preserve">měna programu byla </w:t>
      </w:r>
      <w:r w:rsidRPr="00FF7293">
        <w:rPr>
          <w:rFonts w:ascii="Arial" w:hAnsi="Arial" w:cs="Arial"/>
        </w:rPr>
        <w:t>schválena usnesením vlády ze dne 9. března 2016 č. 190.</w:t>
      </w:r>
    </w:p>
    <w:p w:rsidR="00FF7293" w:rsidRDefault="00FF7293" w:rsidP="00FF7293">
      <w:p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7B0895">
        <w:rPr>
          <w:rFonts w:ascii="Arial" w:eastAsiaTheme="minorHAnsi" w:hAnsi="Arial" w:cs="Arial"/>
          <w:color w:val="000000"/>
          <w:lang w:eastAsia="en-US"/>
        </w:rPr>
        <w:t>Podmínky poskytování podpory na řešení projektů tohoto programu jsou podřízeny Nařízení Komise (EU) č. 651/2014, kterým se v souladu s články 107 a 108 Smlouvy prohlašují určité kategorie podpory za slučitelné s vnitřním trhem.</w:t>
      </w:r>
      <w:r>
        <w:rPr>
          <w:rFonts w:ascii="Arial" w:eastAsiaTheme="minorHAnsi" w:hAnsi="Arial" w:cs="Arial"/>
          <w:color w:val="000000"/>
          <w:lang w:eastAsia="en-US"/>
        </w:rPr>
        <w:t xml:space="preserve"> Změna programu bude oznámena Evropské komisi.</w:t>
      </w:r>
    </w:p>
    <w:p w:rsidR="009104E7" w:rsidRPr="00FF7293" w:rsidRDefault="009104E7" w:rsidP="00FF7293">
      <w:p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Projekty ERC CZ, které byly zahájeny v rámci Akademie věd ČR (dále jen „AV ČR“) budou dokončeny na AV ČR.</w:t>
      </w:r>
    </w:p>
    <w:p w:rsidR="00BF1715" w:rsidRPr="002516F1" w:rsidRDefault="001E518C" w:rsidP="004D2D6C">
      <w:pPr>
        <w:pStyle w:val="Odstavecseseznamem"/>
        <w:numPr>
          <w:ilvl w:val="0"/>
          <w:numId w:val="2"/>
        </w:numPr>
        <w:spacing w:after="120"/>
        <w:ind w:left="1077"/>
        <w:rPr>
          <w:rFonts w:ascii="Arial" w:hAnsi="Arial" w:cs="Arial"/>
          <w:b/>
          <w:color w:val="0070C0"/>
          <w:sz w:val="28"/>
          <w:szCs w:val="28"/>
        </w:rPr>
      </w:pPr>
      <w:r w:rsidRPr="002516F1"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 w:rsidRPr="002516F1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:rsidR="005120A6" w:rsidRDefault="002516F1" w:rsidP="0050397C">
      <w:pPr>
        <w:spacing w:after="120"/>
        <w:jc w:val="both"/>
        <w:rPr>
          <w:rFonts w:ascii="Arial" w:hAnsi="Arial" w:cs="Arial"/>
        </w:rPr>
      </w:pPr>
      <w:r w:rsidRPr="002516F1">
        <w:rPr>
          <w:rFonts w:ascii="Arial" w:hAnsi="Arial" w:cs="Arial"/>
        </w:rPr>
        <w:t xml:space="preserve">Návrh na změnu programu </w:t>
      </w:r>
      <w:r w:rsidR="00A478E2">
        <w:rPr>
          <w:rFonts w:ascii="Arial" w:hAnsi="Arial" w:cs="Arial"/>
        </w:rPr>
        <w:t xml:space="preserve">je předložen </w:t>
      </w:r>
      <w:r w:rsidR="00521FC3">
        <w:rPr>
          <w:rFonts w:ascii="Arial" w:hAnsi="Arial" w:cs="Arial"/>
        </w:rPr>
        <w:t>ke</w:t>
      </w:r>
      <w:r w:rsidR="00A478E2">
        <w:rPr>
          <w:rFonts w:ascii="Arial" w:hAnsi="Arial" w:cs="Arial"/>
        </w:rPr>
        <w:t xml:space="preserve"> stanovisku Rady,</w:t>
      </w:r>
      <w:r w:rsidRPr="002516F1">
        <w:rPr>
          <w:rFonts w:ascii="Arial" w:hAnsi="Arial" w:cs="Arial"/>
        </w:rPr>
        <w:t xml:space="preserve"> p</w:t>
      </w:r>
      <w:r w:rsidR="00DF7234">
        <w:rPr>
          <w:rFonts w:ascii="Arial" w:hAnsi="Arial" w:cs="Arial"/>
        </w:rPr>
        <w:t>rotože</w:t>
      </w:r>
      <w:r w:rsidRPr="002516F1">
        <w:rPr>
          <w:rFonts w:ascii="Arial" w:hAnsi="Arial" w:cs="Arial"/>
        </w:rPr>
        <w:t xml:space="preserve"> </w:t>
      </w:r>
      <w:r w:rsidR="007B0895">
        <w:rPr>
          <w:rFonts w:ascii="Arial" w:hAnsi="Arial" w:cs="Arial"/>
        </w:rPr>
        <w:t>Ministerstvo školství, mládeže a tělovýchovy (dále jen „MŠMT“)</w:t>
      </w:r>
      <w:r w:rsidR="0050397C">
        <w:rPr>
          <w:rFonts w:ascii="Arial" w:hAnsi="Arial" w:cs="Arial"/>
        </w:rPr>
        <w:t xml:space="preserve"> </w:t>
      </w:r>
      <w:r w:rsidRPr="002516F1">
        <w:rPr>
          <w:rFonts w:ascii="Arial" w:hAnsi="Arial" w:cs="Arial"/>
        </w:rPr>
        <w:t>hodlá</w:t>
      </w:r>
      <w:r w:rsidR="0050397C">
        <w:rPr>
          <w:rFonts w:ascii="Arial" w:hAnsi="Arial" w:cs="Arial"/>
        </w:rPr>
        <w:t xml:space="preserve"> změnit dobu trvání programu, </w:t>
      </w:r>
      <w:r w:rsidR="005120A6">
        <w:rPr>
          <w:rFonts w:ascii="Arial" w:hAnsi="Arial" w:cs="Arial"/>
        </w:rPr>
        <w:t>celkové výdaje a rozšíř</w:t>
      </w:r>
      <w:r w:rsidR="00521FC3">
        <w:rPr>
          <w:rFonts w:ascii="Arial" w:hAnsi="Arial" w:cs="Arial"/>
        </w:rPr>
        <w:t>it</w:t>
      </w:r>
      <w:r w:rsidR="005120A6">
        <w:rPr>
          <w:rFonts w:ascii="Arial" w:hAnsi="Arial" w:cs="Arial"/>
        </w:rPr>
        <w:t xml:space="preserve"> podpor</w:t>
      </w:r>
      <w:r w:rsidR="00521FC3">
        <w:rPr>
          <w:rFonts w:ascii="Arial" w:hAnsi="Arial" w:cs="Arial"/>
        </w:rPr>
        <w:t>u</w:t>
      </w:r>
      <w:r w:rsidR="005120A6">
        <w:rPr>
          <w:rFonts w:ascii="Arial" w:hAnsi="Arial" w:cs="Arial"/>
        </w:rPr>
        <w:t xml:space="preserve"> na projekty, které byly ERC na</w:t>
      </w:r>
      <w:r w:rsidR="00A478E2">
        <w:rPr>
          <w:rFonts w:ascii="Arial" w:hAnsi="Arial" w:cs="Arial"/>
        </w:rPr>
        <w:t> </w:t>
      </w:r>
      <w:r w:rsidR="005120A6">
        <w:rPr>
          <w:rFonts w:ascii="Arial" w:hAnsi="Arial" w:cs="Arial"/>
        </w:rPr>
        <w:t>mezinárodní úrovni vyhodnoceny ve druhém kole v kategorii B.</w:t>
      </w:r>
    </w:p>
    <w:p w:rsidR="002516F1" w:rsidRDefault="00FF7293" w:rsidP="0050397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návrhu je nově zavedena</w:t>
      </w:r>
      <w:r w:rsidR="005120A6">
        <w:rPr>
          <w:rFonts w:ascii="Arial" w:hAnsi="Arial" w:cs="Arial"/>
        </w:rPr>
        <w:t xml:space="preserve"> povinnost </w:t>
      </w:r>
      <w:r>
        <w:rPr>
          <w:rFonts w:ascii="Arial" w:hAnsi="Arial" w:cs="Arial"/>
        </w:rPr>
        <w:t xml:space="preserve">příjemce </w:t>
      </w:r>
      <w:r w:rsidR="005120A6">
        <w:rPr>
          <w:rFonts w:ascii="Arial" w:hAnsi="Arial" w:cs="Arial"/>
        </w:rPr>
        <w:t>nejpozději do dvou let od zahájení projektu ERC CZ podat přiměřeně upravený návrh projektu do soutěže ERC.</w:t>
      </w:r>
    </w:p>
    <w:p w:rsidR="005120A6" w:rsidRPr="005120A6" w:rsidRDefault="005120A6" w:rsidP="005120A6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i/>
        </w:rPr>
      </w:pPr>
      <w:r w:rsidRPr="005120A6">
        <w:rPr>
          <w:rFonts w:ascii="Arial" w:hAnsi="Arial" w:cs="Arial"/>
          <w:i/>
        </w:rPr>
        <w:t>ke změně doby trvání programu</w:t>
      </w:r>
    </w:p>
    <w:p w:rsidR="0050397C" w:rsidRDefault="0050397C" w:rsidP="007B0895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50397C">
        <w:rPr>
          <w:rFonts w:ascii="Arial" w:eastAsiaTheme="minorHAnsi" w:hAnsi="Arial" w:cs="Arial"/>
          <w:color w:val="000000"/>
          <w:lang w:eastAsia="en-US"/>
        </w:rPr>
        <w:t>Program</w:t>
      </w:r>
      <w:r w:rsidRPr="00DF7234">
        <w:rPr>
          <w:rFonts w:ascii="Arial" w:eastAsiaTheme="minorHAnsi" w:hAnsi="Arial" w:cs="Arial"/>
          <w:color w:val="000000"/>
          <w:lang w:eastAsia="en-US"/>
        </w:rPr>
        <w:t xml:space="preserve"> ERC CZ je</w:t>
      </w: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0397C">
        <w:rPr>
          <w:rFonts w:ascii="Arial" w:eastAsiaTheme="minorHAnsi" w:hAnsi="Arial" w:cs="Arial"/>
          <w:color w:val="000000"/>
          <w:lang w:eastAsia="en-US"/>
        </w:rPr>
        <w:t xml:space="preserve">v současné době </w:t>
      </w:r>
      <w:r w:rsidRPr="00DF7234">
        <w:rPr>
          <w:rFonts w:ascii="Arial" w:eastAsiaTheme="minorHAnsi" w:hAnsi="Arial" w:cs="Arial"/>
          <w:color w:val="000000"/>
          <w:lang w:eastAsia="en-US"/>
        </w:rPr>
        <w:t xml:space="preserve">implementován pouze do konce roku 2021, což nekoresponduje s plánem výzev ERC pro </w:t>
      </w:r>
      <w:r>
        <w:rPr>
          <w:rFonts w:ascii="Arial" w:eastAsiaTheme="minorHAnsi" w:hAnsi="Arial" w:cs="Arial"/>
          <w:color w:val="000000"/>
          <w:lang w:eastAsia="en-US"/>
        </w:rPr>
        <w:t>Rámcový program EU pro výzkum a inovace Horizont 2020.</w:t>
      </w:r>
      <w:r w:rsidRPr="00DF7234">
        <w:rPr>
          <w:rFonts w:ascii="Arial" w:eastAsiaTheme="minorHAnsi" w:hAnsi="Arial" w:cs="Arial"/>
          <w:color w:val="000000"/>
          <w:lang w:eastAsia="en-US"/>
        </w:rPr>
        <w:t xml:space="preserve"> Stávající znění programu umožňuje podpořit pouze projekty českých, mezinárodně uznávaných výzkumných pracovníků, kteří při podání svých projektů uspěli v hodnocení prováděném odbornými panely ERC1</w:t>
      </w:r>
      <w:r>
        <w:rPr>
          <w:rFonts w:ascii="Arial" w:eastAsiaTheme="minorHAnsi" w:hAnsi="Arial" w:cs="Arial"/>
          <w:color w:val="000000"/>
          <w:lang w:eastAsia="en-US"/>
        </w:rPr>
        <w:t>,</w:t>
      </w:r>
      <w:r w:rsidRPr="00DF7234">
        <w:rPr>
          <w:rFonts w:ascii="Arial" w:eastAsiaTheme="minorHAnsi" w:hAnsi="Arial" w:cs="Arial"/>
          <w:color w:val="000000"/>
          <w:lang w:eastAsia="en-US"/>
        </w:rPr>
        <w:t xml:space="preserve"> které dobou řešení nepřesahují rok 2021. </w:t>
      </w:r>
    </w:p>
    <w:p w:rsidR="00D6000B" w:rsidRPr="007B0895" w:rsidRDefault="00D6000B" w:rsidP="00D6000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7B0895">
        <w:rPr>
          <w:rFonts w:ascii="Arial" w:eastAsiaTheme="minorHAnsi" w:hAnsi="Arial" w:cs="Arial"/>
          <w:color w:val="000000"/>
          <w:lang w:eastAsia="en-US"/>
        </w:rPr>
        <w:t xml:space="preserve">V případě, že </w:t>
      </w:r>
      <w:r w:rsidRPr="00D6000B">
        <w:rPr>
          <w:rFonts w:ascii="Arial" w:eastAsiaTheme="minorHAnsi" w:hAnsi="Arial" w:cs="Arial"/>
          <w:color w:val="000000"/>
          <w:lang w:eastAsia="en-US"/>
        </w:rPr>
        <w:t xml:space="preserve">projekt získá </w:t>
      </w:r>
      <w:r w:rsidRPr="007B0895">
        <w:rPr>
          <w:rFonts w:ascii="Arial" w:eastAsiaTheme="minorHAnsi" w:hAnsi="Arial" w:cs="Arial"/>
          <w:color w:val="000000"/>
          <w:lang w:eastAsia="en-US"/>
        </w:rPr>
        <w:t>grant ERC</w:t>
      </w:r>
      <w:r w:rsidR="00FF7293">
        <w:rPr>
          <w:rFonts w:ascii="Arial" w:eastAsiaTheme="minorHAnsi" w:hAnsi="Arial" w:cs="Arial"/>
          <w:color w:val="000000"/>
          <w:lang w:eastAsia="en-US"/>
        </w:rPr>
        <w:t>,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 bude projekt ERC CZ ukončen, přičemž toto předčasné ukončení bude považováno za úspěšné ukončení projektu. </w:t>
      </w:r>
    </w:p>
    <w:p w:rsidR="00764701" w:rsidRDefault="0050397C" w:rsidP="0076470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 w:rsidRPr="0050397C">
        <w:rPr>
          <w:rFonts w:ascii="Arial" w:eastAsiaTheme="minorHAnsi" w:hAnsi="Arial" w:cs="Arial"/>
          <w:color w:val="000000"/>
          <w:lang w:eastAsia="en-US"/>
        </w:rPr>
        <w:lastRenderedPageBreak/>
        <w:t xml:space="preserve">Změna programu spočívá v prodloužení doby trvání programu do 31. </w:t>
      </w:r>
      <w:r>
        <w:rPr>
          <w:rFonts w:ascii="Arial" w:eastAsiaTheme="minorHAnsi" w:hAnsi="Arial" w:cs="Arial"/>
          <w:color w:val="000000"/>
          <w:lang w:eastAsia="en-US"/>
        </w:rPr>
        <w:t>prosince</w:t>
      </w:r>
      <w:r w:rsidRPr="0050397C">
        <w:rPr>
          <w:rFonts w:ascii="Arial" w:eastAsiaTheme="minorHAnsi" w:hAnsi="Arial" w:cs="Arial"/>
          <w:color w:val="000000"/>
          <w:lang w:eastAsia="en-US"/>
        </w:rPr>
        <w:t xml:space="preserve"> 2026 a v rozšíření podpory na projekty, které byly ERC na mezinárodní úrovni vyhodnoceny ve</w:t>
      </w:r>
      <w:r>
        <w:rPr>
          <w:rFonts w:ascii="Arial" w:eastAsiaTheme="minorHAnsi" w:hAnsi="Arial" w:cs="Arial"/>
          <w:color w:val="000000"/>
          <w:lang w:eastAsia="en-US"/>
        </w:rPr>
        <w:t xml:space="preserve"> druhém kole v kategorii B</w:t>
      </w:r>
      <w:r w:rsidR="00D6000B">
        <w:rPr>
          <w:rFonts w:ascii="Arial" w:eastAsiaTheme="minorHAnsi" w:hAnsi="Arial" w:cs="Arial"/>
          <w:color w:val="000000"/>
          <w:lang w:eastAsia="en-US"/>
        </w:rPr>
        <w:t>, které budou podporovány nejdéle dva roky</w:t>
      </w:r>
      <w:r>
        <w:rPr>
          <w:rFonts w:ascii="Arial" w:eastAsiaTheme="minorHAnsi" w:hAnsi="Arial" w:cs="Arial"/>
          <w:color w:val="000000"/>
          <w:lang w:eastAsia="en-US"/>
        </w:rPr>
        <w:t>.</w:t>
      </w:r>
      <w:r w:rsidRPr="005039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764701" w:rsidRPr="007B0895" w:rsidRDefault="00764701" w:rsidP="00FF7293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První veřejná soutěž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 se předpokládá nejdříve ve druhém čtvrtletí roku 2019. Termíny</w:t>
      </w:r>
      <w:r>
        <w:rPr>
          <w:rFonts w:ascii="Arial" w:eastAsiaTheme="minorHAnsi" w:hAnsi="Arial" w:cs="Arial"/>
          <w:color w:val="000000"/>
          <w:lang w:eastAsia="en-US"/>
        </w:rPr>
        <w:t xml:space="preserve"> vyhlášení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 dalších veřejných soutěží budou </w:t>
      </w:r>
      <w:r>
        <w:rPr>
          <w:rFonts w:ascii="Arial" w:eastAsiaTheme="minorHAnsi" w:hAnsi="Arial" w:cs="Arial"/>
          <w:color w:val="000000"/>
          <w:lang w:eastAsia="en-US"/>
        </w:rPr>
        <w:t>závislé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 na termínech vyhlašování výsledků jednotlivých výzev ERC s tím, že konkrétní veřejná soutěž ve</w:t>
      </w:r>
      <w:r>
        <w:rPr>
          <w:rFonts w:ascii="Arial" w:eastAsiaTheme="minorHAnsi" w:hAnsi="Arial" w:cs="Arial"/>
          <w:color w:val="000000"/>
          <w:lang w:eastAsia="en-US"/>
        </w:rPr>
        <w:t> </w:t>
      </w:r>
      <w:r w:rsidRPr="007B0895">
        <w:rPr>
          <w:rFonts w:ascii="Arial" w:eastAsiaTheme="minorHAnsi" w:hAnsi="Arial" w:cs="Arial"/>
          <w:color w:val="000000"/>
          <w:lang w:eastAsia="en-US"/>
        </w:rPr>
        <w:t>výzkumu, vývoji a inovacích programu proběhne ještě v daném kalendářním roce nebo nejpozději v roce následujícím tak, aby vyhl</w:t>
      </w:r>
      <w:r>
        <w:rPr>
          <w:rFonts w:ascii="Arial" w:eastAsiaTheme="minorHAnsi" w:hAnsi="Arial" w:cs="Arial"/>
          <w:color w:val="000000"/>
          <w:lang w:eastAsia="en-US"/>
        </w:rPr>
        <w:t>ášení následovalo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521FC3">
        <w:rPr>
          <w:rFonts w:ascii="Arial" w:eastAsiaTheme="minorHAnsi" w:hAnsi="Arial" w:cs="Arial"/>
          <w:color w:val="000000"/>
          <w:lang w:eastAsia="en-US"/>
        </w:rPr>
        <w:t xml:space="preserve">po 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zhodnocení projektů z evropských výzev ERC </w:t>
      </w:r>
      <w:r w:rsidR="00521FC3">
        <w:rPr>
          <w:rFonts w:ascii="Arial" w:eastAsiaTheme="minorHAnsi" w:hAnsi="Arial" w:cs="Arial"/>
          <w:color w:val="000000"/>
          <w:lang w:eastAsia="en-US"/>
        </w:rPr>
        <w:t xml:space="preserve">a </w:t>
      </w:r>
      <w:r w:rsidRPr="007B0895">
        <w:rPr>
          <w:rFonts w:ascii="Arial" w:eastAsiaTheme="minorHAnsi" w:hAnsi="Arial" w:cs="Arial"/>
          <w:color w:val="000000"/>
          <w:lang w:eastAsia="en-US"/>
        </w:rPr>
        <w:t xml:space="preserve">zveřejnění jejich výsledků. </w:t>
      </w:r>
    </w:p>
    <w:p w:rsidR="008C59DD" w:rsidRDefault="008C59DD" w:rsidP="008C59DD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B71359">
        <w:rPr>
          <w:rFonts w:ascii="Arial" w:eastAsiaTheme="minorHAnsi" w:hAnsi="Arial" w:cs="Arial"/>
          <w:i/>
          <w:color w:val="000000"/>
          <w:lang w:eastAsia="en-US"/>
        </w:rPr>
        <w:t>Výdaje na program</w:t>
      </w:r>
    </w:p>
    <w:p w:rsidR="00B71359" w:rsidRPr="00B71359" w:rsidRDefault="00B71359" w:rsidP="00B71359">
      <w:pPr>
        <w:spacing w:after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B71359">
        <w:rPr>
          <w:rFonts w:ascii="Arial" w:eastAsiaTheme="minorHAnsi" w:hAnsi="Arial" w:cs="Arial"/>
          <w:color w:val="000000"/>
          <w:lang w:eastAsia="en-US"/>
        </w:rPr>
        <w:t>Podle usnesení vlády České republiky ze dne 7. prosince 2010 č. 885 činily celkové výdaje na program 600 000 tis. Kč. Celkové navýšení prostředků bude ve výši 578</w:t>
      </w:r>
      <w:r w:rsidR="00FF7293">
        <w:rPr>
          <w:rFonts w:ascii="Arial" w:eastAsiaTheme="minorHAnsi" w:hAnsi="Arial" w:cs="Arial"/>
          <w:color w:val="000000"/>
          <w:lang w:eastAsia="en-US"/>
        </w:rPr>
        <w:t> </w:t>
      </w:r>
      <w:r w:rsidRPr="00B71359">
        <w:rPr>
          <w:rFonts w:ascii="Arial" w:eastAsiaTheme="minorHAnsi" w:hAnsi="Arial" w:cs="Arial"/>
          <w:color w:val="000000"/>
          <w:lang w:eastAsia="en-US"/>
        </w:rPr>
        <w:t>997 Kč, tj. nárůst o 96,5 %.</w:t>
      </w:r>
    </w:p>
    <w:p w:rsidR="008C59DD" w:rsidRDefault="008C59DD" w:rsidP="00B7135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8C59DD">
        <w:rPr>
          <w:rFonts w:ascii="Arial" w:eastAsiaTheme="minorHAnsi" w:hAnsi="Arial" w:cs="Arial"/>
          <w:color w:val="000000"/>
          <w:lang w:eastAsia="en-US"/>
        </w:rPr>
        <w:t xml:space="preserve">Finanční prostředky na realizaci programu ERC CZ budou hrazeny z výdajů státního rozpočtu ČR na výzkum, vývoj a inovace z rozpočtové kapitoly </w:t>
      </w:r>
      <w:r w:rsidR="00B71359" w:rsidRPr="00B71359">
        <w:rPr>
          <w:rFonts w:ascii="Arial" w:eastAsiaTheme="minorHAnsi" w:hAnsi="Arial" w:cs="Arial"/>
          <w:color w:val="000000"/>
          <w:lang w:eastAsia="en-US"/>
        </w:rPr>
        <w:t xml:space="preserve">MŠMT, které budou zahrnuty do </w:t>
      </w:r>
      <w:r w:rsidRPr="008C59DD">
        <w:rPr>
          <w:rFonts w:ascii="Arial" w:eastAsiaTheme="minorHAnsi" w:hAnsi="Arial" w:cs="Arial"/>
          <w:color w:val="000000"/>
          <w:lang w:eastAsia="en-US"/>
        </w:rPr>
        <w:t>návrhu výdajů na výzkum, experimentální vývoj a inovace na rok 2020, střednědobého výhledu výdajů na léta 2021 a 2022 a dlouhodobého výhledu výdajů do roku 2026</w:t>
      </w:r>
      <w:r w:rsidR="00B71359" w:rsidRPr="00B71359">
        <w:rPr>
          <w:rFonts w:ascii="Arial" w:eastAsiaTheme="minorHAnsi" w:hAnsi="Arial" w:cs="Arial"/>
          <w:color w:val="000000"/>
          <w:lang w:eastAsia="en-US"/>
        </w:rPr>
        <w:t>.</w:t>
      </w:r>
      <w:r w:rsidRPr="008C59DD">
        <w:rPr>
          <w:rFonts w:ascii="Arial" w:eastAsiaTheme="minorHAnsi" w:hAnsi="Arial" w:cs="Arial"/>
          <w:color w:val="000000"/>
          <w:lang w:eastAsia="en-US"/>
        </w:rPr>
        <w:t xml:space="preserve"> Na podporu projektů v roce 2019 budou využity prostředky ve výši 50 mil. Kč, které byly na MŠMT převedeny rozpočtovým opatřením z Grantové agentury České republiky. </w:t>
      </w:r>
    </w:p>
    <w:p w:rsidR="00B71359" w:rsidRDefault="00B71359" w:rsidP="00B7135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B71359" w:rsidRPr="00DF63AA" w:rsidRDefault="00B71359" w:rsidP="00B7135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DF63AA">
        <w:rPr>
          <w:rFonts w:ascii="Arial" w:eastAsiaTheme="minorHAnsi" w:hAnsi="Arial" w:cs="Arial"/>
          <w:b/>
          <w:color w:val="000000"/>
          <w:lang w:eastAsia="en-US"/>
        </w:rPr>
        <w:t>Celkové výdaje na program v jednotlivých letech: (v tis. Kč)</w:t>
      </w:r>
    </w:p>
    <w:p w:rsidR="00B71359" w:rsidRDefault="00B71359" w:rsidP="003C0C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tbl>
      <w:tblPr>
        <w:tblStyle w:val="Svtlmkazvraznn6"/>
        <w:tblW w:w="0" w:type="auto"/>
        <w:jc w:val="center"/>
        <w:tblLook w:val="04A0" w:firstRow="1" w:lastRow="0" w:firstColumn="1" w:lastColumn="0" w:noHBand="0" w:noVBand="1"/>
      </w:tblPr>
      <w:tblGrid>
        <w:gridCol w:w="977"/>
        <w:gridCol w:w="1324"/>
        <w:gridCol w:w="1576"/>
        <w:gridCol w:w="1284"/>
      </w:tblGrid>
      <w:tr w:rsidR="003C0CF7" w:rsidRPr="00DF63AA" w:rsidTr="001E42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FABF8F" w:themeFill="accent6" w:themeFillTint="99"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DF63AA">
              <w:rPr>
                <w:rFonts w:ascii="Arial" w:eastAsiaTheme="minorHAnsi" w:hAnsi="Arial" w:cs="Arial"/>
                <w:color w:val="000000"/>
                <w:lang w:eastAsia="en-US"/>
              </w:rPr>
              <w:t>rok</w:t>
            </w:r>
          </w:p>
        </w:tc>
        <w:tc>
          <w:tcPr>
            <w:tcW w:w="0" w:type="auto"/>
            <w:gridSpan w:val="2"/>
            <w:tcBorders>
              <w:bottom w:val="single" w:sz="8" w:space="0" w:color="F79646" w:themeColor="accent6"/>
            </w:tcBorders>
            <w:shd w:val="clear" w:color="auto" w:fill="FABF8F" w:themeFill="accent6" w:themeFillTint="99"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DF63AA">
              <w:rPr>
                <w:rFonts w:ascii="Arial" w:eastAsiaTheme="minorHAnsi" w:hAnsi="Arial" w:cs="Arial"/>
                <w:color w:val="000000"/>
                <w:lang w:eastAsia="en-US"/>
              </w:rPr>
              <w:t>výdaje</w:t>
            </w:r>
          </w:p>
        </w:tc>
        <w:tc>
          <w:tcPr>
            <w:tcW w:w="0" w:type="auto"/>
            <w:vMerge w:val="restart"/>
            <w:shd w:val="clear" w:color="auto" w:fill="FABF8F" w:themeFill="accent6" w:themeFillTint="99"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DF63AA">
              <w:rPr>
                <w:rFonts w:ascii="Arial" w:eastAsiaTheme="minorHAnsi" w:hAnsi="Arial" w:cs="Arial"/>
                <w:color w:val="000000"/>
                <w:lang w:eastAsia="en-US"/>
              </w:rPr>
              <w:t>celkem</w:t>
            </w:r>
          </w:p>
        </w:tc>
      </w:tr>
      <w:tr w:rsidR="003C0CF7" w:rsidRPr="00DF63AA" w:rsidTr="001E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0" w:type="auto"/>
            <w:shd w:val="clear" w:color="auto" w:fill="FABF8F" w:themeFill="accent6" w:themeFillTint="99"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DF63A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dle smluv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DF63A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prodloužení</w:t>
            </w:r>
          </w:p>
        </w:tc>
        <w:tc>
          <w:tcPr>
            <w:tcW w:w="0" w:type="auto"/>
            <w:vMerge/>
          </w:tcPr>
          <w:p w:rsidR="003C0CF7" w:rsidRPr="00DF63AA" w:rsidRDefault="003C0CF7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2012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10 474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10 474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2013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59 735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59 735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2014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60 679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60 679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2015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50 544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50 544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2016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58 127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58 127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2017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76 518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76 518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2018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35 952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35 952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2019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26 683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50 000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76 683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25 910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125 910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2021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24 375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124 375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2022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2023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2024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</w:tr>
      <w:tr w:rsid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2025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</w:tr>
      <w:tr w:rsidR="003C0CF7" w:rsidTr="003C0C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2026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  <w:tc>
          <w:tcPr>
            <w:tcW w:w="0" w:type="auto"/>
          </w:tcPr>
          <w:p w:rsidR="000F1A68" w:rsidRDefault="000F1A68" w:rsidP="003C0CF7">
            <w:pPr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lang w:eastAsia="en-US"/>
              </w:rPr>
              <w:t>100 000</w:t>
            </w:r>
          </w:p>
        </w:tc>
      </w:tr>
      <w:tr w:rsidR="003C0CF7" w:rsidRPr="003C0CF7" w:rsidTr="003C0C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F1A68" w:rsidRPr="003C0CF7" w:rsidRDefault="000F1A68" w:rsidP="003C0CF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 w:val="0"/>
                <w:color w:val="000000"/>
                <w:lang w:eastAsia="en-US"/>
              </w:rPr>
            </w:pPr>
            <w:r w:rsidRPr="003C0CF7">
              <w:rPr>
                <w:rFonts w:ascii="Arial" w:eastAsiaTheme="minorHAnsi" w:hAnsi="Arial" w:cs="Arial"/>
                <w:b w:val="0"/>
                <w:color w:val="000000"/>
                <w:lang w:eastAsia="en-US"/>
              </w:rPr>
              <w:t>celkem</w:t>
            </w:r>
          </w:p>
        </w:tc>
        <w:tc>
          <w:tcPr>
            <w:tcW w:w="0" w:type="auto"/>
          </w:tcPr>
          <w:p w:rsidR="000F1A68" w:rsidRPr="003C0CF7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3C0CF7">
              <w:rPr>
                <w:rFonts w:ascii="Arial" w:eastAsiaTheme="minorHAnsi" w:hAnsi="Arial" w:cs="Arial"/>
                <w:b/>
                <w:color w:val="000000"/>
                <w:lang w:eastAsia="en-US"/>
              </w:rPr>
              <w:t>428 997</w:t>
            </w:r>
          </w:p>
        </w:tc>
        <w:tc>
          <w:tcPr>
            <w:tcW w:w="0" w:type="auto"/>
          </w:tcPr>
          <w:p w:rsidR="000F1A68" w:rsidRPr="003C0CF7" w:rsidRDefault="000F1A68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3C0CF7">
              <w:rPr>
                <w:rFonts w:ascii="Arial" w:eastAsiaTheme="minorHAnsi" w:hAnsi="Arial" w:cs="Arial"/>
                <w:b/>
                <w:color w:val="000000"/>
                <w:lang w:eastAsia="en-US"/>
              </w:rPr>
              <w:t>750 000</w:t>
            </w:r>
          </w:p>
        </w:tc>
        <w:tc>
          <w:tcPr>
            <w:tcW w:w="0" w:type="auto"/>
          </w:tcPr>
          <w:p w:rsidR="000F1A68" w:rsidRPr="003C0CF7" w:rsidRDefault="003C0CF7" w:rsidP="003C0C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3C0CF7">
              <w:rPr>
                <w:rFonts w:ascii="Arial" w:eastAsiaTheme="minorHAnsi" w:hAnsi="Arial" w:cs="Arial"/>
                <w:b/>
                <w:color w:val="000000"/>
                <w:lang w:eastAsia="en-US"/>
              </w:rPr>
              <w:t>1 178 997</w:t>
            </w:r>
          </w:p>
        </w:tc>
      </w:tr>
    </w:tbl>
    <w:p w:rsidR="00B71359" w:rsidRPr="008C59DD" w:rsidRDefault="00B71359" w:rsidP="003C0CF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</w:p>
    <w:p w:rsidR="005120A6" w:rsidRPr="00DF63AA" w:rsidRDefault="00DF63AA" w:rsidP="00DF63AA">
      <w:pPr>
        <w:pStyle w:val="Odstavecseseznamem"/>
        <w:numPr>
          <w:ilvl w:val="0"/>
          <w:numId w:val="2"/>
        </w:numPr>
        <w:spacing w:after="120"/>
        <w:ind w:left="1077"/>
        <w:rPr>
          <w:rFonts w:ascii="Arial" w:hAnsi="Arial" w:cs="Arial"/>
          <w:b/>
          <w:color w:val="0070C0"/>
          <w:sz w:val="28"/>
          <w:szCs w:val="28"/>
        </w:rPr>
      </w:pPr>
      <w:r w:rsidRPr="00DF63AA">
        <w:rPr>
          <w:rFonts w:ascii="Arial" w:hAnsi="Arial" w:cs="Arial"/>
          <w:b/>
          <w:color w:val="0070C0"/>
          <w:sz w:val="28"/>
          <w:szCs w:val="28"/>
        </w:rPr>
        <w:t>Zhodnocení návrhu změny programu Radou</w:t>
      </w:r>
    </w:p>
    <w:p w:rsidR="00764701" w:rsidRDefault="0053276E" w:rsidP="007647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64701">
        <w:rPr>
          <w:rFonts w:ascii="Arial" w:eastAsiaTheme="minorHAnsi" w:hAnsi="Arial" w:cs="Arial"/>
          <w:color w:val="000000"/>
          <w:lang w:eastAsia="en-US"/>
        </w:rPr>
        <w:t xml:space="preserve">Program </w:t>
      </w:r>
      <w:r w:rsidR="00764701">
        <w:rPr>
          <w:rFonts w:ascii="Arial" w:eastAsiaTheme="minorHAnsi" w:hAnsi="Arial" w:cs="Arial"/>
          <w:color w:val="000000"/>
          <w:lang w:eastAsia="en-US"/>
        </w:rPr>
        <w:t>je velmi přínosný, protože</w:t>
      </w:r>
      <w:r w:rsidRPr="00764701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764701">
        <w:rPr>
          <w:rFonts w:ascii="Arial" w:eastAsiaTheme="minorHAnsi" w:hAnsi="Arial" w:cs="Arial"/>
          <w:color w:val="000000"/>
          <w:lang w:eastAsia="en-US"/>
        </w:rPr>
        <w:t xml:space="preserve">přispívá ke zvýšení kvality excelentního výzkumu </w:t>
      </w:r>
      <w:r w:rsidRPr="00764701">
        <w:rPr>
          <w:rFonts w:ascii="Arial" w:eastAsiaTheme="minorHAnsi" w:hAnsi="Arial" w:cs="Arial"/>
          <w:color w:val="000000"/>
          <w:lang w:eastAsia="en-US"/>
        </w:rPr>
        <w:t>a zlepšení zapojení ČR do</w:t>
      </w:r>
      <w:r w:rsidR="00764701" w:rsidRPr="00764701">
        <w:rPr>
          <w:rFonts w:ascii="Arial" w:eastAsiaTheme="minorHAnsi" w:hAnsi="Arial" w:cs="Arial"/>
          <w:color w:val="000000"/>
          <w:lang w:eastAsia="en-US"/>
        </w:rPr>
        <w:t> </w:t>
      </w:r>
      <w:r w:rsidRPr="00764701">
        <w:rPr>
          <w:rFonts w:ascii="Arial" w:eastAsiaTheme="minorHAnsi" w:hAnsi="Arial" w:cs="Arial"/>
          <w:color w:val="000000"/>
          <w:lang w:eastAsia="en-US"/>
        </w:rPr>
        <w:t xml:space="preserve">mezinárodní spolupráce ve </w:t>
      </w:r>
      <w:r w:rsidR="00764701" w:rsidRPr="00764701">
        <w:rPr>
          <w:rFonts w:ascii="Arial" w:eastAsiaTheme="minorHAnsi" w:hAnsi="Arial" w:cs="Arial"/>
          <w:color w:val="000000"/>
          <w:lang w:eastAsia="en-US"/>
        </w:rPr>
        <w:t>výzkumu, vývoji a inovacích</w:t>
      </w:r>
      <w:r w:rsidRPr="00764701">
        <w:rPr>
          <w:rFonts w:ascii="Arial" w:eastAsiaTheme="minorHAnsi" w:hAnsi="Arial" w:cs="Arial"/>
          <w:color w:val="000000"/>
          <w:lang w:eastAsia="en-US"/>
        </w:rPr>
        <w:t xml:space="preserve">, </w:t>
      </w:r>
      <w:r w:rsidRPr="00764701">
        <w:rPr>
          <w:rFonts w:ascii="Arial" w:eastAsiaTheme="minorHAnsi" w:hAnsi="Arial" w:cs="Arial"/>
          <w:color w:val="000000"/>
          <w:lang w:eastAsia="en-US"/>
        </w:rPr>
        <w:lastRenderedPageBreak/>
        <w:t>zajištění kvalitních lidských zdrojů</w:t>
      </w:r>
      <w:r w:rsidR="00764701">
        <w:rPr>
          <w:rFonts w:ascii="Arial" w:eastAsiaTheme="minorHAnsi" w:hAnsi="Arial" w:cs="Arial"/>
          <w:color w:val="000000"/>
          <w:lang w:eastAsia="en-US"/>
        </w:rPr>
        <w:t xml:space="preserve"> i</w:t>
      </w:r>
      <w:r w:rsidRPr="00764701">
        <w:rPr>
          <w:rFonts w:ascii="Arial" w:eastAsiaTheme="minorHAnsi" w:hAnsi="Arial" w:cs="Arial"/>
          <w:color w:val="000000"/>
          <w:lang w:eastAsia="en-US"/>
        </w:rPr>
        <w:t xml:space="preserve"> zázemí pro tvorbu kvalitních, světově uznávaných výsledků</w:t>
      </w:r>
      <w:r w:rsidR="00764701">
        <w:rPr>
          <w:rFonts w:ascii="Arial" w:eastAsiaTheme="minorHAnsi" w:hAnsi="Arial" w:cs="Arial"/>
          <w:color w:val="000000"/>
          <w:lang w:eastAsia="en-US"/>
        </w:rPr>
        <w:t xml:space="preserve"> v</w:t>
      </w:r>
      <w:r w:rsidRPr="00764701">
        <w:rPr>
          <w:rFonts w:ascii="Arial" w:eastAsiaTheme="minorHAnsi" w:hAnsi="Arial" w:cs="Arial"/>
          <w:color w:val="000000"/>
          <w:lang w:eastAsia="en-US"/>
        </w:rPr>
        <w:t xml:space="preserve"> oborech odpovídajících evropským výzkumným trendům. </w:t>
      </w:r>
    </w:p>
    <w:p w:rsidR="00764701" w:rsidRDefault="00764701" w:rsidP="007647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764701" w:rsidRDefault="00764701" w:rsidP="007647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3276E">
        <w:rPr>
          <w:rFonts w:ascii="Arial" w:eastAsiaTheme="minorHAnsi" w:hAnsi="Arial" w:cs="Arial"/>
          <w:color w:val="000000"/>
          <w:lang w:eastAsia="en-US"/>
        </w:rPr>
        <w:t>Program bude podporov</w:t>
      </w:r>
      <w:bookmarkStart w:id="0" w:name="_GoBack"/>
      <w:bookmarkEnd w:id="0"/>
      <w:r w:rsidRPr="0053276E">
        <w:rPr>
          <w:rFonts w:ascii="Arial" w:eastAsiaTheme="minorHAnsi" w:hAnsi="Arial" w:cs="Arial"/>
          <w:color w:val="000000"/>
          <w:lang w:eastAsia="en-US"/>
        </w:rPr>
        <w:t>at projekty tak, jak jsou členěny v rámci evropského ERC a</w:t>
      </w:r>
      <w:r>
        <w:rPr>
          <w:rFonts w:ascii="Arial" w:eastAsiaTheme="minorHAnsi" w:hAnsi="Arial" w:cs="Arial"/>
          <w:color w:val="000000"/>
          <w:lang w:eastAsia="en-US"/>
        </w:rPr>
        <w:t> </w:t>
      </w:r>
      <w:r w:rsidRPr="0053276E">
        <w:rPr>
          <w:rFonts w:ascii="Arial" w:eastAsiaTheme="minorHAnsi" w:hAnsi="Arial" w:cs="Arial"/>
          <w:color w:val="000000"/>
          <w:lang w:eastAsia="en-US"/>
        </w:rPr>
        <w:t>bude vyhlašován nadále formou opakovaných veřejných soutěží ve výzkumu, vývoji a inovacích</w:t>
      </w:r>
      <w:r>
        <w:rPr>
          <w:rFonts w:ascii="Arial" w:eastAsiaTheme="minorHAnsi" w:hAnsi="Arial" w:cs="Arial"/>
          <w:color w:val="000000"/>
          <w:lang w:eastAsia="en-US"/>
        </w:rPr>
        <w:t>.</w:t>
      </w:r>
    </w:p>
    <w:p w:rsidR="00764701" w:rsidRDefault="00764701" w:rsidP="007647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BF1715" w:rsidRPr="00FF7293" w:rsidRDefault="00BF1715" w:rsidP="00DF63AA">
      <w:pPr>
        <w:pStyle w:val="Odstavecseseznamem"/>
        <w:numPr>
          <w:ilvl w:val="0"/>
          <w:numId w:val="2"/>
        </w:numPr>
        <w:spacing w:after="120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 w:rsidRPr="00FF7293">
        <w:rPr>
          <w:rFonts w:ascii="Arial" w:hAnsi="Arial" w:cs="Arial"/>
          <w:b/>
          <w:color w:val="0070C0"/>
          <w:sz w:val="28"/>
          <w:szCs w:val="28"/>
        </w:rPr>
        <w:t>Připomínky</w:t>
      </w:r>
      <w:r w:rsidR="00FF7293">
        <w:rPr>
          <w:rFonts w:ascii="Arial" w:hAnsi="Arial" w:cs="Arial"/>
          <w:b/>
          <w:color w:val="0070C0"/>
          <w:sz w:val="28"/>
          <w:szCs w:val="28"/>
        </w:rPr>
        <w:t xml:space="preserve"> Rady</w:t>
      </w:r>
    </w:p>
    <w:p w:rsidR="001C1BCA" w:rsidRPr="00D6000B" w:rsidRDefault="001C1BCA" w:rsidP="007639F4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D6000B">
        <w:rPr>
          <w:rFonts w:ascii="Arial" w:hAnsi="Arial" w:cs="Arial"/>
          <w:u w:val="single"/>
        </w:rPr>
        <w:t>Zásadní připomínka:</w:t>
      </w:r>
    </w:p>
    <w:p w:rsidR="00183A39" w:rsidRDefault="003C40FE" w:rsidP="00FF7293">
      <w:pPr>
        <w:spacing w:after="120"/>
        <w:jc w:val="both"/>
        <w:rPr>
          <w:rFonts w:ascii="Arial" w:hAnsi="Arial" w:cs="Arial"/>
        </w:rPr>
      </w:pPr>
      <w:r w:rsidRPr="00D6000B">
        <w:rPr>
          <w:rFonts w:ascii="Arial" w:hAnsi="Arial" w:cs="Arial"/>
        </w:rPr>
        <w:t>Rada požaduje</w:t>
      </w:r>
      <w:r w:rsidR="001E518C" w:rsidRPr="00D6000B">
        <w:rPr>
          <w:rFonts w:ascii="Arial" w:hAnsi="Arial" w:cs="Arial"/>
        </w:rPr>
        <w:t xml:space="preserve">, aby </w:t>
      </w:r>
      <w:r w:rsidR="00A53BEC">
        <w:rPr>
          <w:rFonts w:ascii="Arial" w:hAnsi="Arial" w:cs="Arial"/>
        </w:rPr>
        <w:t xml:space="preserve">MŠMT </w:t>
      </w:r>
      <w:r w:rsidR="00027A0F" w:rsidRPr="00D6000B">
        <w:rPr>
          <w:rFonts w:ascii="Arial" w:hAnsi="Arial" w:cs="Arial"/>
        </w:rPr>
        <w:t>do meziresortního připomínkového řízení</w:t>
      </w:r>
      <w:r w:rsidRPr="00D6000B">
        <w:rPr>
          <w:rFonts w:ascii="Arial" w:hAnsi="Arial" w:cs="Arial"/>
        </w:rPr>
        <w:t xml:space="preserve"> </w:t>
      </w:r>
      <w:r w:rsidR="00A53BEC">
        <w:rPr>
          <w:rFonts w:ascii="Arial" w:hAnsi="Arial" w:cs="Arial"/>
        </w:rPr>
        <w:t xml:space="preserve">předložilo </w:t>
      </w:r>
      <w:r w:rsidR="00183A39">
        <w:rPr>
          <w:rFonts w:ascii="Arial" w:hAnsi="Arial" w:cs="Arial"/>
        </w:rPr>
        <w:t xml:space="preserve">celý </w:t>
      </w:r>
      <w:r w:rsidR="00A53BEC">
        <w:rPr>
          <w:rFonts w:ascii="Arial" w:hAnsi="Arial" w:cs="Arial"/>
        </w:rPr>
        <w:t>text návrhu na změnu programu</w:t>
      </w:r>
      <w:r w:rsidR="00183A39">
        <w:rPr>
          <w:rFonts w:ascii="Arial" w:hAnsi="Arial" w:cs="Arial"/>
        </w:rPr>
        <w:t xml:space="preserve"> po zapracování všech změn (část III. dokumentu na jednání vlády), tj. se všemi</w:t>
      </w:r>
      <w:r w:rsidR="00A53BEC">
        <w:rPr>
          <w:rFonts w:ascii="Arial" w:hAnsi="Arial" w:cs="Arial"/>
        </w:rPr>
        <w:t> náležit</w:t>
      </w:r>
      <w:r w:rsidR="00183A39">
        <w:rPr>
          <w:rFonts w:ascii="Arial" w:hAnsi="Arial" w:cs="Arial"/>
        </w:rPr>
        <w:t>ostmi podle § 5 odst. 2 zákona  o </w:t>
      </w:r>
      <w:r w:rsidR="00A53BEC">
        <w:rPr>
          <w:rFonts w:ascii="Arial" w:hAnsi="Arial" w:cs="Arial"/>
        </w:rPr>
        <w:t>podpoře výzkumu, experimentálního vývoje a inovací</w:t>
      </w:r>
      <w:r w:rsidR="00183A39">
        <w:rPr>
          <w:rFonts w:ascii="Arial" w:hAnsi="Arial" w:cs="Arial"/>
        </w:rPr>
        <w:t xml:space="preserve">. </w:t>
      </w:r>
    </w:p>
    <w:p w:rsidR="00017DD9" w:rsidRPr="00363121" w:rsidRDefault="00BF1715" w:rsidP="00183A39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 w:rsidRPr="00363121">
        <w:rPr>
          <w:rFonts w:ascii="Arial" w:hAnsi="Arial" w:cs="Arial"/>
          <w:b/>
          <w:color w:val="0070C0"/>
          <w:sz w:val="28"/>
          <w:szCs w:val="28"/>
        </w:rPr>
        <w:t>Závěr</w:t>
      </w:r>
    </w:p>
    <w:p w:rsidR="00017DD9" w:rsidRPr="00363121" w:rsidRDefault="00017DD9" w:rsidP="00426530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363121">
        <w:rPr>
          <w:rFonts w:ascii="Arial" w:hAnsi="Arial" w:cs="Arial"/>
        </w:rPr>
        <w:t>Rada schvaluje</w:t>
      </w:r>
      <w:r w:rsidR="00EE6075" w:rsidRPr="00363121">
        <w:rPr>
          <w:rFonts w:ascii="Arial" w:hAnsi="Arial" w:cs="Arial"/>
        </w:rPr>
        <w:t xml:space="preserve"> Stanovisko k </w:t>
      </w:r>
      <w:r w:rsidR="00F250BE" w:rsidRPr="00363121">
        <w:rPr>
          <w:rFonts w:ascii="Arial" w:hAnsi="Arial" w:cs="Arial"/>
        </w:rPr>
        <w:t>N</w:t>
      </w:r>
      <w:r w:rsidRPr="00363121">
        <w:rPr>
          <w:rFonts w:ascii="Arial" w:hAnsi="Arial" w:cs="Arial"/>
        </w:rPr>
        <w:t>ávrh</w:t>
      </w:r>
      <w:r w:rsidR="00EE6075" w:rsidRPr="00363121">
        <w:rPr>
          <w:rFonts w:ascii="Arial" w:hAnsi="Arial" w:cs="Arial"/>
        </w:rPr>
        <w:t>u</w:t>
      </w:r>
      <w:r w:rsidR="00F250BE" w:rsidRPr="00363121">
        <w:rPr>
          <w:rFonts w:ascii="Arial" w:hAnsi="Arial" w:cs="Arial"/>
        </w:rPr>
        <w:t xml:space="preserve"> na změnu programu na podporu výzkumu, experimentálního vývoje a inovací „ERC CZ“ a žádá poskytovatele o</w:t>
      </w:r>
      <w:r w:rsidR="00426530" w:rsidRPr="00363121">
        <w:rPr>
          <w:rFonts w:ascii="Arial" w:hAnsi="Arial" w:cs="Arial"/>
        </w:rPr>
        <w:t> </w:t>
      </w:r>
      <w:r w:rsidR="00F250BE" w:rsidRPr="00363121">
        <w:rPr>
          <w:rFonts w:ascii="Arial" w:hAnsi="Arial" w:cs="Arial"/>
        </w:rPr>
        <w:t xml:space="preserve">zapracování </w:t>
      </w:r>
      <w:r w:rsidR="00363121" w:rsidRPr="00363121">
        <w:rPr>
          <w:rFonts w:ascii="Arial" w:hAnsi="Arial" w:cs="Arial"/>
        </w:rPr>
        <w:t xml:space="preserve">zásadní </w:t>
      </w:r>
      <w:r w:rsidR="00F250BE" w:rsidRPr="00363121">
        <w:rPr>
          <w:rFonts w:ascii="Arial" w:hAnsi="Arial" w:cs="Arial"/>
        </w:rPr>
        <w:t>připomín</w:t>
      </w:r>
      <w:r w:rsidR="00363121" w:rsidRPr="00363121">
        <w:rPr>
          <w:rFonts w:ascii="Arial" w:hAnsi="Arial" w:cs="Arial"/>
        </w:rPr>
        <w:t>ky</w:t>
      </w:r>
      <w:r w:rsidR="00F250BE" w:rsidRPr="00363121">
        <w:rPr>
          <w:rFonts w:ascii="Arial" w:hAnsi="Arial" w:cs="Arial"/>
        </w:rPr>
        <w:t xml:space="preserve"> uveden</w:t>
      </w:r>
      <w:r w:rsidR="00363121" w:rsidRPr="00363121">
        <w:rPr>
          <w:rFonts w:ascii="Arial" w:hAnsi="Arial" w:cs="Arial"/>
        </w:rPr>
        <w:t>é</w:t>
      </w:r>
      <w:r w:rsidR="00F250BE" w:rsidRPr="00363121">
        <w:rPr>
          <w:rFonts w:ascii="Arial" w:hAnsi="Arial" w:cs="Arial"/>
        </w:rPr>
        <w:t xml:space="preserve"> v části V. stanoviska před</w:t>
      </w:r>
      <w:r w:rsidR="00521FC3">
        <w:rPr>
          <w:rFonts w:ascii="Arial" w:hAnsi="Arial" w:cs="Arial"/>
        </w:rPr>
        <w:t> </w:t>
      </w:r>
      <w:r w:rsidR="00F250BE" w:rsidRPr="00363121">
        <w:rPr>
          <w:rFonts w:ascii="Arial" w:hAnsi="Arial" w:cs="Arial"/>
        </w:rPr>
        <w:t>odesláním dokumentu</w:t>
      </w:r>
      <w:r w:rsidRPr="00363121">
        <w:rPr>
          <w:rFonts w:ascii="Arial" w:hAnsi="Arial" w:cs="Arial"/>
        </w:rPr>
        <w:t xml:space="preserve"> do</w:t>
      </w:r>
      <w:r w:rsidR="00F250BE" w:rsidRPr="00363121">
        <w:rPr>
          <w:rFonts w:ascii="Arial" w:hAnsi="Arial" w:cs="Arial"/>
        </w:rPr>
        <w:t> </w:t>
      </w:r>
      <w:r w:rsidRPr="00363121">
        <w:rPr>
          <w:rFonts w:ascii="Arial" w:hAnsi="Arial" w:cs="Arial"/>
        </w:rPr>
        <w:t xml:space="preserve">meziresortního připomínkového řízení, </w:t>
      </w:r>
    </w:p>
    <w:p w:rsidR="00017DD9" w:rsidRPr="00363121" w:rsidRDefault="00017DD9" w:rsidP="00F250BE">
      <w:pPr>
        <w:pStyle w:val="Odstavecseseznamem1"/>
        <w:keepNext/>
        <w:numPr>
          <w:ilvl w:val="0"/>
          <w:numId w:val="15"/>
        </w:numPr>
        <w:tabs>
          <w:tab w:val="left" w:pos="1260"/>
          <w:tab w:val="left" w:pos="180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63121">
        <w:rPr>
          <w:rFonts w:ascii="Arial" w:hAnsi="Arial" w:cs="Arial"/>
          <w:sz w:val="24"/>
          <w:szCs w:val="24"/>
        </w:rPr>
        <w:t xml:space="preserve">doporučuje vládě </w:t>
      </w:r>
      <w:r w:rsidR="00F250BE" w:rsidRPr="00363121">
        <w:rPr>
          <w:rFonts w:ascii="Arial" w:hAnsi="Arial" w:cs="Arial"/>
          <w:sz w:val="24"/>
          <w:szCs w:val="24"/>
        </w:rPr>
        <w:t>dokument se zapra</w:t>
      </w:r>
      <w:r w:rsidRPr="00363121">
        <w:rPr>
          <w:rFonts w:ascii="Arial" w:hAnsi="Arial" w:cs="Arial"/>
          <w:sz w:val="24"/>
          <w:szCs w:val="24"/>
        </w:rPr>
        <w:t>covan</w:t>
      </w:r>
      <w:r w:rsidR="00363121" w:rsidRPr="00363121">
        <w:rPr>
          <w:rFonts w:ascii="Arial" w:hAnsi="Arial" w:cs="Arial"/>
          <w:sz w:val="24"/>
          <w:szCs w:val="24"/>
        </w:rPr>
        <w:t>ou připomínkou</w:t>
      </w:r>
      <w:r w:rsidRPr="00363121">
        <w:rPr>
          <w:rFonts w:ascii="Arial" w:hAnsi="Arial" w:cs="Arial"/>
          <w:sz w:val="24"/>
          <w:szCs w:val="24"/>
        </w:rPr>
        <w:t xml:space="preserve"> schválit. </w:t>
      </w:r>
    </w:p>
    <w:p w:rsidR="00017DD9" w:rsidRPr="00363121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Pr="00363121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Default="00017DD9" w:rsidP="004826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63121">
        <w:rPr>
          <w:rFonts w:ascii="Arial" w:hAnsi="Arial" w:cs="Arial"/>
          <w:sz w:val="24"/>
          <w:szCs w:val="24"/>
        </w:rPr>
        <w:t xml:space="preserve">Praha, </w:t>
      </w:r>
      <w:r w:rsidR="00482602" w:rsidRPr="00363121">
        <w:rPr>
          <w:rFonts w:ascii="Arial" w:hAnsi="Arial" w:cs="Arial"/>
          <w:sz w:val="24"/>
          <w:szCs w:val="24"/>
        </w:rPr>
        <w:t>2</w:t>
      </w:r>
      <w:r w:rsidR="00363121" w:rsidRPr="00363121">
        <w:rPr>
          <w:rFonts w:ascii="Arial" w:hAnsi="Arial" w:cs="Arial"/>
          <w:sz w:val="24"/>
          <w:szCs w:val="24"/>
        </w:rPr>
        <w:t>2. února 2019</w:t>
      </w:r>
    </w:p>
    <w:sectPr w:rsidR="00017DD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6DD" w:rsidRDefault="000536DD" w:rsidP="008F77F6">
      <w:r>
        <w:separator/>
      </w:r>
    </w:p>
  </w:endnote>
  <w:endnote w:type="continuationSeparator" w:id="0">
    <w:p w:rsidR="000536DD" w:rsidRDefault="000536D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43" w:rsidRDefault="001B7E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Stanovisko Rady pro výzkum, vývoj a inovace k Návrhu na změnu Programu na podporu výzkumu, vývoje a inovací „ERC CZ“     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361D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361D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361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A361D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6DD" w:rsidRDefault="000536DD" w:rsidP="008F77F6">
      <w:r>
        <w:separator/>
      </w:r>
    </w:p>
  </w:footnote>
  <w:footnote w:type="continuationSeparator" w:id="0">
    <w:p w:rsidR="000536DD" w:rsidRDefault="000536D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43" w:rsidRDefault="001B7E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DC8ACCC" wp14:editId="3699D99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0ED47BEF" wp14:editId="08A3369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BB545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B5454">
            <w:rPr>
              <w:rFonts w:ascii="Arial" w:hAnsi="Arial" w:cs="Arial"/>
              <w:b/>
              <w:color w:val="0070C0"/>
              <w:sz w:val="28"/>
              <w:szCs w:val="28"/>
            </w:rPr>
            <w:t>43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1B7E43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1FE"/>
    <w:multiLevelType w:val="hybridMultilevel"/>
    <w:tmpl w:val="BE44DA24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D3A"/>
    <w:multiLevelType w:val="hybridMultilevel"/>
    <w:tmpl w:val="4AB4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8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66EF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522FD"/>
    <w:multiLevelType w:val="hybridMultilevel"/>
    <w:tmpl w:val="17FC7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4119D"/>
    <w:multiLevelType w:val="hybridMultilevel"/>
    <w:tmpl w:val="87B21DB8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FD3FA7"/>
    <w:multiLevelType w:val="hybridMultilevel"/>
    <w:tmpl w:val="D976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5FDC33D6"/>
    <w:multiLevelType w:val="hybridMultilevel"/>
    <w:tmpl w:val="E38E6E0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5016A8"/>
    <w:multiLevelType w:val="hybridMultilevel"/>
    <w:tmpl w:val="E124A6BE"/>
    <w:lvl w:ilvl="0" w:tplc="8E945F7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5"/>
  </w:num>
  <w:num w:numId="8">
    <w:abstractNumId w:val="12"/>
  </w:num>
  <w:num w:numId="9">
    <w:abstractNumId w:val="18"/>
  </w:num>
  <w:num w:numId="10">
    <w:abstractNumId w:val="17"/>
  </w:num>
  <w:num w:numId="11">
    <w:abstractNumId w:val="21"/>
  </w:num>
  <w:num w:numId="12">
    <w:abstractNumId w:val="6"/>
  </w:num>
  <w:num w:numId="13">
    <w:abstractNumId w:val="4"/>
  </w:num>
  <w:num w:numId="14">
    <w:abstractNumId w:val="3"/>
  </w:num>
  <w:num w:numId="15">
    <w:abstractNumId w:val="13"/>
  </w:num>
  <w:num w:numId="16">
    <w:abstractNumId w:val="11"/>
  </w:num>
  <w:num w:numId="17">
    <w:abstractNumId w:val="8"/>
  </w:num>
  <w:num w:numId="18">
    <w:abstractNumId w:val="2"/>
  </w:num>
  <w:num w:numId="19">
    <w:abstractNumId w:val="10"/>
  </w:num>
  <w:num w:numId="20">
    <w:abstractNumId w:val="14"/>
  </w:num>
  <w:num w:numId="21">
    <w:abstractNumId w:val="9"/>
  </w:num>
  <w:num w:numId="22">
    <w:abstractNumId w:val="2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36DD"/>
    <w:rsid w:val="00057A10"/>
    <w:rsid w:val="000C4A33"/>
    <w:rsid w:val="000E33B8"/>
    <w:rsid w:val="000F1A68"/>
    <w:rsid w:val="00116145"/>
    <w:rsid w:val="00154A10"/>
    <w:rsid w:val="0016183E"/>
    <w:rsid w:val="00183A39"/>
    <w:rsid w:val="001A7212"/>
    <w:rsid w:val="001B0562"/>
    <w:rsid w:val="001B7E43"/>
    <w:rsid w:val="001C1BCA"/>
    <w:rsid w:val="001D278E"/>
    <w:rsid w:val="001E42B7"/>
    <w:rsid w:val="001E518C"/>
    <w:rsid w:val="00201426"/>
    <w:rsid w:val="002109AB"/>
    <w:rsid w:val="00232F21"/>
    <w:rsid w:val="00237006"/>
    <w:rsid w:val="0023719A"/>
    <w:rsid w:val="002516F1"/>
    <w:rsid w:val="00265A36"/>
    <w:rsid w:val="00296CCF"/>
    <w:rsid w:val="002A1361"/>
    <w:rsid w:val="002E2591"/>
    <w:rsid w:val="00303892"/>
    <w:rsid w:val="00317CFF"/>
    <w:rsid w:val="00324CD0"/>
    <w:rsid w:val="003348CA"/>
    <w:rsid w:val="00360293"/>
    <w:rsid w:val="00363121"/>
    <w:rsid w:val="00367FC4"/>
    <w:rsid w:val="00386056"/>
    <w:rsid w:val="00387B05"/>
    <w:rsid w:val="003C0CF7"/>
    <w:rsid w:val="003C2A8E"/>
    <w:rsid w:val="003C40FE"/>
    <w:rsid w:val="003E2680"/>
    <w:rsid w:val="003F2EE0"/>
    <w:rsid w:val="0040468E"/>
    <w:rsid w:val="00426530"/>
    <w:rsid w:val="00482602"/>
    <w:rsid w:val="00492346"/>
    <w:rsid w:val="004D2D6C"/>
    <w:rsid w:val="0050397C"/>
    <w:rsid w:val="00503FF7"/>
    <w:rsid w:val="00505092"/>
    <w:rsid w:val="005120A6"/>
    <w:rsid w:val="00521FC3"/>
    <w:rsid w:val="0053276E"/>
    <w:rsid w:val="00571676"/>
    <w:rsid w:val="005E43C2"/>
    <w:rsid w:val="005F4CD5"/>
    <w:rsid w:val="00610729"/>
    <w:rsid w:val="00616978"/>
    <w:rsid w:val="0062447C"/>
    <w:rsid w:val="00645780"/>
    <w:rsid w:val="00670BF1"/>
    <w:rsid w:val="006B31DD"/>
    <w:rsid w:val="006D3311"/>
    <w:rsid w:val="006D7A09"/>
    <w:rsid w:val="006E40D8"/>
    <w:rsid w:val="006F43DD"/>
    <w:rsid w:val="00715F0F"/>
    <w:rsid w:val="00720790"/>
    <w:rsid w:val="007372BE"/>
    <w:rsid w:val="007639F4"/>
    <w:rsid w:val="00764701"/>
    <w:rsid w:val="007B0895"/>
    <w:rsid w:val="007B4FAD"/>
    <w:rsid w:val="007D64A5"/>
    <w:rsid w:val="007E65F4"/>
    <w:rsid w:val="00805B7B"/>
    <w:rsid w:val="00810AA0"/>
    <w:rsid w:val="00822F5B"/>
    <w:rsid w:val="008349FB"/>
    <w:rsid w:val="0084795D"/>
    <w:rsid w:val="0086041D"/>
    <w:rsid w:val="00876F98"/>
    <w:rsid w:val="008C59DD"/>
    <w:rsid w:val="008D0383"/>
    <w:rsid w:val="008F2B28"/>
    <w:rsid w:val="008F77F6"/>
    <w:rsid w:val="009035D5"/>
    <w:rsid w:val="009104E7"/>
    <w:rsid w:val="009252CC"/>
    <w:rsid w:val="0095777C"/>
    <w:rsid w:val="009758E5"/>
    <w:rsid w:val="009A7A10"/>
    <w:rsid w:val="00A325D1"/>
    <w:rsid w:val="00A33ED6"/>
    <w:rsid w:val="00A3472F"/>
    <w:rsid w:val="00A478E2"/>
    <w:rsid w:val="00A53BEC"/>
    <w:rsid w:val="00A92BF6"/>
    <w:rsid w:val="00A97A8C"/>
    <w:rsid w:val="00AA6A69"/>
    <w:rsid w:val="00AD5458"/>
    <w:rsid w:val="00AD68D5"/>
    <w:rsid w:val="00AE772A"/>
    <w:rsid w:val="00B16526"/>
    <w:rsid w:val="00B26656"/>
    <w:rsid w:val="00B36870"/>
    <w:rsid w:val="00B71359"/>
    <w:rsid w:val="00B71BC8"/>
    <w:rsid w:val="00B84CD4"/>
    <w:rsid w:val="00B96973"/>
    <w:rsid w:val="00BA6EE3"/>
    <w:rsid w:val="00BB5454"/>
    <w:rsid w:val="00BD70D7"/>
    <w:rsid w:val="00BF1715"/>
    <w:rsid w:val="00C50430"/>
    <w:rsid w:val="00CA361D"/>
    <w:rsid w:val="00CB3603"/>
    <w:rsid w:val="00CC370F"/>
    <w:rsid w:val="00CD72F6"/>
    <w:rsid w:val="00CF0116"/>
    <w:rsid w:val="00CF4C80"/>
    <w:rsid w:val="00D34C62"/>
    <w:rsid w:val="00D41A7D"/>
    <w:rsid w:val="00D6000B"/>
    <w:rsid w:val="00DB1404"/>
    <w:rsid w:val="00DC5FE9"/>
    <w:rsid w:val="00DE2FDA"/>
    <w:rsid w:val="00DF63AA"/>
    <w:rsid w:val="00DF7234"/>
    <w:rsid w:val="00E312EE"/>
    <w:rsid w:val="00E7659E"/>
    <w:rsid w:val="00E82C93"/>
    <w:rsid w:val="00E90863"/>
    <w:rsid w:val="00EA59F0"/>
    <w:rsid w:val="00EE4843"/>
    <w:rsid w:val="00EE6075"/>
    <w:rsid w:val="00F250BE"/>
    <w:rsid w:val="00F4222F"/>
    <w:rsid w:val="00F56C61"/>
    <w:rsid w:val="00F61526"/>
    <w:rsid w:val="00F643B7"/>
    <w:rsid w:val="00F85F64"/>
    <w:rsid w:val="00F96CDB"/>
    <w:rsid w:val="00FB4178"/>
    <w:rsid w:val="00FD3F99"/>
    <w:rsid w:val="00FE67C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E1F8-78CB-4F87-97BE-12B86524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821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2019-02-11T09:30:00Z</cp:lastPrinted>
  <dcterms:created xsi:type="dcterms:W3CDTF">2019-02-07T13:36:00Z</dcterms:created>
  <dcterms:modified xsi:type="dcterms:W3CDTF">2019-02-11T09:30:00Z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